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3D" w:rsidRPr="00CA233F" w:rsidRDefault="009D253D" w:rsidP="009D253D">
      <w:pPr>
        <w:rPr>
          <w:rFonts w:ascii="Helvetica" w:hAnsi="Helvetica" w:cs="Times New Roman"/>
          <w:b/>
        </w:rPr>
      </w:pPr>
      <w:r w:rsidRPr="00CA233F">
        <w:rPr>
          <w:rFonts w:ascii="Helvetica" w:hAnsi="Helvetica" w:cs="Times New Roman"/>
          <w:b/>
        </w:rPr>
        <w:t>Table 1</w:t>
      </w:r>
      <w:r w:rsidRPr="00CA233F">
        <w:rPr>
          <w:rFonts w:ascii="Helvetica" w:hAnsi="Helvetica" w:cs="Times New Roman"/>
          <w:b/>
        </w:rPr>
        <w:tab/>
      </w:r>
      <w:r w:rsidRPr="00CA233F">
        <w:rPr>
          <w:rFonts w:ascii="Helvetica" w:hAnsi="Helvetica" w:cs="Times New Roman"/>
          <w:b/>
        </w:rPr>
        <w:tab/>
        <w:t>Titers of Ad vectors conditionally expressing Cas12a.</w:t>
      </w:r>
    </w:p>
    <w:p w:rsidR="009D253D" w:rsidRPr="00CA233F" w:rsidRDefault="009D253D" w:rsidP="009D253D">
      <w:pPr>
        <w:rPr>
          <w:rFonts w:ascii="Helvetica" w:hAnsi="Helvetica" w:cs="Times New Roman"/>
        </w:rPr>
      </w:pPr>
    </w:p>
    <w:tbl>
      <w:tblPr>
        <w:tblW w:w="984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7"/>
        <w:gridCol w:w="6423"/>
      </w:tblGrid>
      <w:tr w:rsidR="009D253D" w:rsidRPr="00CA233F" w:rsidTr="00905D72">
        <w:trPr>
          <w:trHeight w:val="360"/>
        </w:trPr>
        <w:tc>
          <w:tcPr>
            <w:tcW w:w="98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widowControl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 vector                          VP/ml                IFU/ml       VP/IFU ratio</w:t>
            </w:r>
          </w:p>
        </w:tc>
      </w:tr>
      <w:tr w:rsidR="009D253D" w:rsidRPr="00CA233F" w:rsidTr="00905D72">
        <w:trPr>
          <w:trHeight w:val="800"/>
        </w:trPr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Ad-AHA-AsCas12a</w:t>
            </w:r>
          </w:p>
          <w:p w:rsidR="009D253D" w:rsidRPr="00CA233F" w:rsidRDefault="009D253D" w:rsidP="00905D72">
            <w:pPr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Ad-AHA-LbCas12a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widowControl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3.19×10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 xml:space="preserve">11                  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>2.15×10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 xml:space="preserve">10              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>4.8</w:t>
            </w:r>
          </w:p>
          <w:p w:rsidR="009D253D" w:rsidRPr="00CA233F" w:rsidRDefault="009D253D" w:rsidP="00905D72">
            <w:pPr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5.80×10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 xml:space="preserve">11                  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>4.43×10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 xml:space="preserve">10             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>13.1</w:t>
            </w:r>
          </w:p>
        </w:tc>
      </w:tr>
      <w:tr w:rsidR="009D253D" w:rsidRPr="00CA233F" w:rsidTr="00905D72">
        <w:trPr>
          <w:trHeight w:val="800"/>
        </w:trPr>
        <w:tc>
          <w:tcPr>
            <w:tcW w:w="984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Ad-teton-AsCas12a                3.60×10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 xml:space="preserve">11                  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>1.19×10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  30.3</w:t>
            </w:r>
          </w:p>
          <w:p w:rsidR="009D253D" w:rsidRPr="00CA233F" w:rsidRDefault="009D253D" w:rsidP="00905D72">
            <w:pPr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Ad-teton-LbCas12a                2.48×10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11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     1.87×10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  13.3</w:t>
            </w:r>
          </w:p>
        </w:tc>
      </w:tr>
      <w:tr w:rsidR="009D253D" w:rsidRPr="00CA233F" w:rsidTr="00905D72">
        <w:trPr>
          <w:trHeight w:val="800"/>
        </w:trPr>
        <w:tc>
          <w:tcPr>
            <w:tcW w:w="984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Ad-CBh-AsCas12a (g -)            5.60×10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     2.15×10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9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   26.1</w:t>
            </w:r>
          </w:p>
          <w:p w:rsidR="009D253D" w:rsidRPr="00CA233F" w:rsidRDefault="009D253D" w:rsidP="00905D72">
            <w:pPr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Ad-CBh-LbCas12a (g -)            </w:t>
            </w:r>
            <w:r w:rsidRPr="00CA233F">
              <w:rPr>
                <w:rFonts w:ascii="Helvetica" w:eastAsia="ＭＳ Ｐゴシック" w:hAnsi="Helvetica" w:cs="Times New Roman"/>
                <w:kern w:val="0"/>
              </w:rPr>
              <w:t>Could not be recovered</w:t>
            </w:r>
          </w:p>
        </w:tc>
      </w:tr>
      <w:tr w:rsidR="009D253D" w:rsidRPr="00CA233F" w:rsidTr="00905D72">
        <w:trPr>
          <w:trHeight w:val="892"/>
        </w:trPr>
        <w:tc>
          <w:tcPr>
            <w:tcW w:w="984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253D" w:rsidRPr="00CA233F" w:rsidRDefault="009D253D" w:rsidP="00905D72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Ad-CBh-AsCas12a                </w:t>
            </w:r>
            <w:r w:rsidRPr="00CA233F">
              <w:rPr>
                <w:rFonts w:ascii="Helvetica" w:eastAsia="ＭＳ Ｐゴシック" w:hAnsi="Helvetica" w:cs="Times New Roman"/>
                <w:kern w:val="0"/>
              </w:rPr>
              <w:t>Could not be recovered</w:t>
            </w:r>
          </w:p>
          <w:p w:rsidR="009D253D" w:rsidRPr="00CA233F" w:rsidRDefault="009D253D" w:rsidP="00905D72">
            <w:pPr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Ad-CBh-LbCas12a                </w:t>
            </w:r>
            <w:r w:rsidRPr="00CA233F">
              <w:rPr>
                <w:rFonts w:ascii="Helvetica" w:eastAsia="ＭＳ Ｐゴシック" w:hAnsi="Helvetica" w:cs="Times New Roman"/>
                <w:kern w:val="0"/>
              </w:rPr>
              <w:t>Could not be recovered</w:t>
            </w:r>
          </w:p>
        </w:tc>
      </w:tr>
      <w:tr w:rsidR="00905D72" w:rsidRPr="00CA233F" w:rsidTr="00905D72">
        <w:trPr>
          <w:trHeight w:val="498"/>
        </w:trPr>
        <w:tc>
          <w:tcPr>
            <w:tcW w:w="984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72" w:rsidRPr="00905D72" w:rsidRDefault="00905D72" w:rsidP="00905D72">
            <w:pPr>
              <w:widowControl/>
              <w:rPr>
                <w:rFonts w:ascii="Helvetica" w:eastAsia="ＭＳ Ｐゴシック" w:hAnsi="Helvetica" w:cs="Arial"/>
                <w:color w:val="FF0000"/>
                <w:kern w:val="0"/>
              </w:rPr>
            </w:pPr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</w:rPr>
              <w:t>Ad-</w:t>
            </w:r>
            <w:proofErr w:type="spellStart"/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</w:rPr>
              <w:t>CBh</w:t>
            </w:r>
            <w:proofErr w:type="spellEnd"/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</w:rPr>
              <w:t>-GFP                     4.26×10</w:t>
            </w:r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  <w:vertAlign w:val="superscript"/>
              </w:rPr>
              <w:t xml:space="preserve">11                  </w:t>
            </w:r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</w:rPr>
              <w:t>3.66×10</w:t>
            </w:r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  <w:vertAlign w:val="superscript"/>
              </w:rPr>
              <w:t xml:space="preserve">10              </w:t>
            </w:r>
            <w:r w:rsidRPr="00B60A70">
              <w:rPr>
                <w:rFonts w:ascii="Helvetica" w:eastAsia="ＭＳ Ｐゴシック" w:hAnsi="Helvetica" w:cs="Arial"/>
                <w:color w:val="000000" w:themeColor="text1"/>
                <w:kern w:val="0"/>
              </w:rPr>
              <w:t>11.64</w:t>
            </w:r>
          </w:p>
        </w:tc>
      </w:tr>
    </w:tbl>
    <w:p w:rsidR="00426B3F" w:rsidRDefault="00426B3F">
      <w:bookmarkStart w:id="0" w:name="_GoBack"/>
      <w:bookmarkEnd w:id="0"/>
    </w:p>
    <w:p w:rsidR="009166EA" w:rsidRPr="007B360C" w:rsidRDefault="009166EA" w:rsidP="009166EA">
      <w:pPr>
        <w:rPr>
          <w:rFonts w:ascii="Helvetica" w:hAnsi="Helvetica" w:cs="Times New Roman"/>
        </w:rPr>
      </w:pPr>
      <w:r w:rsidRPr="007B360C">
        <w:rPr>
          <w:rFonts w:ascii="Helvetica" w:hAnsi="Helvetica" w:cs="Times New Roman"/>
        </w:rPr>
        <w:t>Virus particle (VP) titers and infectious unit (IFU) titers recovered from five culture plates (15-cm in diameter) were shown.</w:t>
      </w:r>
    </w:p>
    <w:p w:rsidR="009166EA" w:rsidRDefault="009166EA"/>
    <w:sectPr w:rsidR="009166EA" w:rsidSect="000D103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53D"/>
    <w:rsid w:val="000D1032"/>
    <w:rsid w:val="00173055"/>
    <w:rsid w:val="00426B3F"/>
    <w:rsid w:val="00905D72"/>
    <w:rsid w:val="009166EA"/>
    <w:rsid w:val="009D253D"/>
    <w:rsid w:val="00B60A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5B4C0F-AAEE-405E-A516-EECD50EE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Eiko</dc:creator>
  <cp:keywords/>
  <dc:description/>
  <cp:lastModifiedBy>Tomohito.T</cp:lastModifiedBy>
  <cp:revision>3</cp:revision>
  <dcterms:created xsi:type="dcterms:W3CDTF">2019-07-25T02:20:00Z</dcterms:created>
  <dcterms:modified xsi:type="dcterms:W3CDTF">2023-07-12T02:01:00Z</dcterms:modified>
</cp:coreProperties>
</file>